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江苏高邮</w:t>
      </w:r>
      <w:r w:rsidRPr="00D3669E">
        <w:rPr>
          <w:rFonts w:hint="eastAsia"/>
        </w:rPr>
        <w:t>，</w:t>
      </w:r>
      <w:r w:rsidRPr="00D3669E">
        <w:t>位于</w:t>
      </w:r>
      <w:r>
        <w:rPr>
          <w:rFonts w:hint="eastAsia"/>
          <w:highlight w:val="green"/>
        </w:rPr>
        <w:t xml:space="preserve">154.7</w:t>
      </w:r>
      <w:r w:rsidRPr="00A17732">
        <w:rPr>
          <w:highlight w:val="green"/>
        </w:rPr>
        <w:t>境内</w:t>
      </w:r>
      <w:r w:rsidRPr="00D3669E">
        <w:rPr>
          <w:rFonts w:hint="eastAsia"/>
        </w:rPr>
        <w:t>，</w:t>
      </w:r>
      <w:r w:rsidRPr="00D3669E">
        <w:t>为</w:t>
      </w:r>
      <w:r>
        <w:rPr>
          <w:rFonts w:hint="eastAsia"/>
          <w:highlight w:val="green"/>
        </w:rPr>
        <w:t xml:space="preserve">缓坡低山</w:t>
      </w:r>
      <w:r w:rsidRPr="00D3669E">
        <w:t>风电场</w:t>
      </w:r>
      <w:r w:rsidRPr="00D3669E">
        <w:rPr>
          <w:rFonts w:hint="eastAsia"/>
        </w:rPr>
        <w:t>，</w:t>
      </w:r>
      <w:r w:rsidRPr="00D3669E">
        <w:t>场址内海拔高程在</w:t>
      </w:r>
      <w:r>
        <w:rPr>
          <w:rFonts w:hint="eastAsia"/>
          <w:highlight w:val="green"/>
        </w:rPr>
        <w:t xml:space="preserve">588m～852m</w:t>
      </w:r>
      <w:r w:rsidRPr="00D3669E">
        <w:t>之间</w:t>
      </w:r>
      <w:r w:rsidRPr="00D3669E">
        <w:rPr>
          <w:rFonts w:hint="eastAsia"/>
        </w:rPr>
        <w:t>。项目地处东经</w:t>
      </w:r>
      <w:r>
        <w:rPr>
          <w:rFonts w:hint="eastAsia"/>
          <w:highlight w:val="green"/>
        </w:rPr>
        <w:t xml:space="preserve">111.334294</w:t>
      </w:r>
      <w:r w:rsidRPr="00D3669E">
        <w:rPr>
          <w:rFonts w:hint="eastAsia"/>
        </w:rPr>
        <w:t>、北纬</w:t>
      </w:r>
      <w:r>
        <w:rPr>
          <w:rFonts w:hint="eastAsia"/>
          <w:highlight w:val="green"/>
        </w:rPr>
        <w:t xml:space="preserve">23.132694</w:t>
      </w:r>
      <w:r w:rsidRPr="00D3669E">
        <w:rPr>
          <w:rFonts w:hint="eastAsia"/>
        </w:rPr>
        <w:t>之间，总区域共</w:t>
      </w:r>
      <w:r>
        <w:rPr>
          <w:rFonts w:hint="eastAsia"/>
          <w:highlight w:val="green"/>
        </w:rPr>
        <w:t xml:space="preserve">20</w:t>
      </w:r>
      <w:r w:rsidRPr="00D3669E">
        <w:t>km</w:t>
      </w:r>
      <w:r w:rsidRPr="00D3669E">
        <w:rPr>
          <w:vertAlign w:val="superscript"/>
        </w:rPr>
        <w:t>2</w:t>
      </w:r>
      <w:r w:rsidRPr="00D3669E">
        <w:rPr>
          <w:rFonts w:hint="eastAsia"/>
        </w:rPr>
        <w:t>。风电场拟安装</w:t>
      </w:r>
      <w:r>
        <w:rPr>
          <w:highlight w:val="green"/>
        </w:rPr>
        <w:t xml:space="preserve">40</w:t>
      </w:r>
      <w:r w:rsidRPr="00D3669E">
        <w:rPr>
          <w:rFonts w:hint="eastAsia"/>
        </w:rPr>
        <w:t>台单机容量为</w:t>
      </w:r>
      <w:r>
        <w:rPr>
          <w:rFonts w:hint="eastAsia"/>
          <w:highlight w:val="green"/>
        </w:rPr>
        <w:t xml:space="preserve">2.5</w:t>
      </w:r>
      <w:r w:rsidRPr="00D3669E">
        <w:rPr>
          <w:rFonts w:hint="eastAsia"/>
        </w:rPr>
        <w:t>MW</w:t>
      </w:r>
      <w:r w:rsidRPr="00D3669E">
        <w:rPr>
          <w:rFonts w:hint="eastAsia"/>
        </w:rPr>
        <w:t>的风力发电机组，规划容量为</w:t>
      </w:r>
      <w:r>
        <w:rPr>
          <w:highlight w:val="green"/>
        </w:rPr>
        <w:t xml:space="preserve">100.0</w:t>
      </w:r>
      <w:r w:rsidRPr="00D3669E">
        <w:rPr>
          <w:rFonts w:hint="eastAsia"/>
        </w:rPr>
        <w:t>MW</w:t>
      </w:r>
      <w:r w:rsidRPr="00D3669E">
        <w:rPr>
          <w:rFonts w:hint="eastAsia"/>
        </w:rPr>
        <w:t>。</w:t>
      </w:r>
      <w:r w:rsidRPr="00A36276">
        <w:rPr>
          <w:rFonts w:hint="eastAsia"/>
          <w:highlight w:val="green"/>
        </w:rPr>
        <w:t xml:space="preserve">本项目拟采用110kV电压等级接入电网，在风电项目场址中心附近新建1座110kV升压变电站，设置1台70MVA主变，电压等级110/35kV， 风力发电机组发出的电力经箱变升压至35kV后汇集进入变电站35kV侧，经主变压器升压至110kV，以一回110kV接入220kV白涛变电站110kV侧，导线截面300mm2。</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hint="eastAsia"/>
          <w:noProof/>
          <w:color w:val="000000" w:themeColor="text1"/>
          <w:sz w:val="28"/>
          <w:szCs w:val="24"/>
          <w:lang w:val="zh-CN"/>
        </w:rPr>
        <w:t>云浮</w:t>
      </w:r>
      <w:r w:rsidRPr="0021393C">
        <w:rPr>
          <w:rFonts w:eastAsia="黑体" w:hAnsi="宋体" w:cs="Times New Roman"/>
          <w:noProof/>
          <w:color w:val="000000" w:themeColor="text1"/>
          <w:sz w:val="28"/>
          <w:szCs w:val="24"/>
          <w:lang w:val="zh-CN"/>
        </w:rPr>
        <w:t>市电力系统现状及规划</w:t>
      </w:r>
    </w:p>
    <w:p w:rsidR="009C1E34" w:rsidRDefault="009C1E34" w:rsidP="009C1E34">
      <w:pPr>
        <w:pStyle w:val="01maintext"/>
        <w:ind w:firstLine="480"/>
        <w:rPr>
          <w:shd w:val="clear" w:color="auto" w:fill="FFFFFF"/>
        </w:rPr>
      </w:pPr>
      <w:r>
        <w:rPr>
          <w:rFonts w:hint="eastAsia"/>
          <w:highlight w:val="green"/>
        </w:rPr>
        <w:t xml:space="preserve">2018年，武隆区全年实现地区生产总值(GDP)1816270万元，按可比价计算，较上年增长6.2%。其中:第一产业实现增加值226881万元，较上年增长4.7%;第二产业实现增加值679907万元，较上年增长6.0%;第三产业实现增加值909482万元，较上年增长6.7%。三次产业结构比为12.5:37.4:50.1。三次产业对经济增长的贡献率分别为9.1%、36.3%、54.6%，分别拉动经济增长0.6、2.3、3.3个百分点。按常住人口计算，人均生产总值达到52237元，较上年增长6.2% 。</w:t>
      </w:r>
    </w:p>
    <w:p w:rsidR="009C1E34" w:rsidRDefault="009C1E34" w:rsidP="009C1E34">
      <w:pPr>
        <w:pStyle w:val="01maintext"/>
        <w:ind w:firstLine="480"/>
      </w:pPr>
      <w:r>
        <w:rPr>
          <w:rFonts w:hint="eastAsia"/>
          <w:highlight w:val="green"/>
        </w:rPr>
        <w:t xml:space="preserve">截止2017年底，重庆电网总装机容量为1948万千瓦，220千伏及以上变压器变电容量65320兆伏安。500千伏线路长度合计3386千米，220千伏线路长度合计7496千米。 2017年重庆地区最高负荷为19420兆瓦，同比2016年增长7.0%；最大用电量为774亿千瓦时，同比2016年增长6.7%。</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本项目拟采用110kV电压等级接入电网，在风电项目场址中心附近新建1座110kV升压变电站，设置1台70MVA主变，电压等级110/35kV， 风力发电机组发出的电力经箱变升压至35kV后汇集进入变电站35kV侧，经主变压器升压至110kV，以一回110kV接入220kV白涛变电站110kV侧，导线截面300mm2。</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3" w:name="_GoBack"/>
      <w:bookmarkEnd w:id="13"/>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D1197B" w:rsidRPr="0021393C">
        <w:rPr>
          <w:rFonts w:hAnsi="宋体" w:cs="Times New Roman"/>
          <w:noProof/>
          <w:color w:val="000000" w:themeColor="text1"/>
          <w:szCs w:val="24"/>
          <w:lang w:val="zh-CN"/>
        </w:rPr>
        <w:t>40</w:t>
      </w:r>
      <w:r w:rsidR="00D1197B" w:rsidRPr="0021393C">
        <w:rPr>
          <w:rFonts w:hAnsi="宋体" w:cs="Times New Roman" w:hint="eastAsia"/>
          <w:noProof/>
          <w:color w:val="000000" w:themeColor="text1"/>
          <w:szCs w:val="24"/>
          <w:lang w:val="zh-CN"/>
        </w:rPr>
        <w:t>台单机容量为</w:t>
      </w:r>
      <w:r w:rsidR="00D1197B" w:rsidRPr="0021393C">
        <w:rPr>
          <w:rFonts w:hAnsi="宋体" w:cs="Times New Roman" w:hint="eastAsia"/>
          <w:noProof/>
          <w:color w:val="000000" w:themeColor="text1"/>
          <w:szCs w:val="24"/>
          <w:lang w:val="zh-CN"/>
        </w:rPr>
        <w:t>2.</w:t>
      </w:r>
      <w:r w:rsidR="00D1197B" w:rsidRPr="0021393C">
        <w:rPr>
          <w:rFonts w:hAnsi="宋体" w:cs="Times New Roman"/>
          <w:noProof/>
          <w:color w:val="000000" w:themeColor="text1"/>
          <w:szCs w:val="24"/>
          <w:lang w:val="zh-CN"/>
        </w:rPr>
        <w:t>5</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D1197B" w:rsidRPr="0021393C">
        <w:rPr>
          <w:rFonts w:hAnsi="宋体" w:cs="Times New Roman"/>
          <w:noProof/>
          <w:color w:val="000000" w:themeColor="text1"/>
          <w:szCs w:val="24"/>
          <w:lang w:val="zh-CN"/>
        </w:rPr>
        <w:t>100</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侧母线，每回</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集电线路接</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7</w:t>
      </w:r>
      <w:r w:rsidR="00D1197B" w:rsidRPr="0021393C">
        <w:rPr>
          <w:rFonts w:hAnsi="宋体" w:cs="Times New Roman" w:hint="eastAsia"/>
          <w:noProof/>
          <w:color w:val="000000" w:themeColor="text1"/>
          <w:szCs w:val="24"/>
          <w:lang w:val="zh-CN"/>
        </w:rPr>
        <w:t>台风力发电机组。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台单机容量为</w:t>
      </w:r>
      <w:r w:rsidRPr="0021393C">
        <w:rPr>
          <w:rFonts w:hAnsi="宋体" w:cs="Times New Roman"/>
          <w:noProof/>
          <w:color w:val="000000" w:themeColor="text1"/>
          <w:szCs w:val="24"/>
          <w:lang w:val="zh-CN"/>
        </w:rPr>
        <w:t>2500kW</w:t>
      </w:r>
      <w:r w:rsidRPr="0021393C">
        <w:rPr>
          <w:rFonts w:hAnsi="宋体" w:cs="Times New Roman"/>
          <w:noProof/>
          <w:color w:val="000000" w:themeColor="text1"/>
          <w:szCs w:val="24"/>
          <w:lang w:val="zh-CN"/>
        </w:rPr>
        <w:t>的风力发电机组，风力发电机与箱式变电站接线方式为一机一变单元接线方式，因此选用</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主变压器，电压等级</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0/35kV</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台容量为</w:t>
      </w:r>
      <w:r>
        <w:rPr>
          <w:rFonts w:hAnsi="宋体" w:cs="Times New Roman"/>
          <w:noProof/>
          <w:color w:val="000000" w:themeColor="text1"/>
          <w:szCs w:val="24"/>
          <w:lang w:val="zh-CN"/>
        </w:rPr>
        <w:t>100MVA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40</w:t>
      </w:r>
      <w:r w:rsidRPr="0021393C">
        <w:rPr>
          <w:rFonts w:hAnsi="宋体" w:cs="Times New Roman"/>
          <w:noProof/>
          <w:color w:val="000000" w:themeColor="text1"/>
          <w:szCs w:val="24"/>
          <w:lang w:val="zh-CN"/>
        </w:rPr>
        <w:t>台风机分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组分别接入风电场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母线，本升压变电站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采用单母线接线型式。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面接地变开关柜，</w:t>
      </w:r>
      <w:r>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40</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r w:rsidRPr="00CA5433">
        <w:rPr>
          <w:rFonts w:cs="Times New Roman"/>
          <w:b/>
          <w:sz w:val="21"/>
          <w:szCs w:val="21"/>
          <w:highlight w:val="green"/>
        </w:rPr>
        <w:t>各种箱变优缺点比较</w:t>
      </w:r>
    </w:p>
    <w:tbl>
      <w:tblPr>
        <w:tblStyle w:val="92"/>
        <w:tblW w:w="5000" w:type="pct"/>
        <w:tblCellMar>
          <w:left w:w="57" w:type="dxa"/>
          <w:right w:w="57" w:type="dxa"/>
        </w:tblCellMar>
        <w:tblLook w:val="04A0" w:firstRow="1" w:lastRow="0" w:firstColumn="1" w:lastColumn="0" w:noHBand="0" w:noVBand="1"/>
      </w:tblPr>
      <w:tblGrid>
        <w:gridCol w:w="671"/>
        <w:gridCol w:w="3730"/>
        <w:gridCol w:w="3896"/>
      </w:tblGrid>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lastRenderedPageBreak/>
              <w:t>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欧变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辐射较美变低，供电可靠性较华变高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台容量为</w:t>
      </w:r>
      <w:r w:rsidRPr="00CA5433">
        <w:rPr>
          <w:rFonts w:hAnsi="宋体" w:cs="Times New Roman"/>
          <w:noProof/>
          <w:color w:val="000000" w:themeColor="text1"/>
          <w:szCs w:val="24"/>
          <w:highlight w:val="green"/>
          <w:lang w:val="zh-CN"/>
        </w:rPr>
        <w:t>100MVA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SZ11-100000/110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4" w:name="OLE_LINK1"/>
      <w:bookmarkStart w:id="15" w:name="OLE_LINK2"/>
      <w:r w:rsidRPr="00CA5433">
        <w:rPr>
          <w:rFonts w:hAnsi="宋体" w:cs="Times New Roman"/>
          <w:noProof/>
          <w:color w:val="000000" w:themeColor="text1"/>
          <w:szCs w:val="24"/>
          <w:highlight w:val="green"/>
          <w:lang w:val="zh-CN"/>
        </w:rPr>
        <w:t>主变压器接地方式</w:t>
      </w:r>
      <w:bookmarkEnd w:id="14"/>
      <w:bookmarkEnd w:id="15"/>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Pr="00CA5433">
        <w:rPr>
          <w:rFonts w:hAnsi="宋体" w:cs="Times New Roman"/>
          <w:noProof/>
          <w:color w:val="000000" w:themeColor="text1"/>
          <w:szCs w:val="24"/>
          <w:highlight w:val="green"/>
          <w:lang w:val="zh-CN"/>
        </w:rPr>
        <w:t>110kV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hint="eastAsia"/>
          <w:noProof/>
          <w:color w:val="000000" w:themeColor="text1"/>
          <w:szCs w:val="24"/>
          <w:highlight w:val="green"/>
          <w:lang w:val="zh-CN"/>
        </w:rPr>
        <w:t>0k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110kV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2"/>
        <w:tblW w:w="5000" w:type="pct"/>
        <w:jc w:val="center"/>
        <w:tblLook w:val="04A0" w:firstRow="1" w:lastRow="0" w:firstColumn="1" w:lastColumn="0" w:noHBand="0" w:noVBand="1"/>
      </w:tblPr>
      <w:tblGrid>
        <w:gridCol w:w="1478"/>
        <w:gridCol w:w="2310"/>
        <w:gridCol w:w="2121"/>
        <w:gridCol w:w="2388"/>
      </w:tblGrid>
      <w:tr w:rsidR="00D1197B" w:rsidRPr="00CA5433"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），可感性到容性平滑调节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以内），，可感性到容性平滑调节，噪声较小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变电站户外高压设备采用避雷针保护，经过计算采用</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根</w:t>
      </w:r>
      <w:r w:rsidRPr="0021393C">
        <w:rPr>
          <w:rFonts w:hAnsi="宋体" w:cs="Times New Roman"/>
          <w:noProof/>
          <w:color w:val="000000" w:themeColor="text1"/>
          <w:szCs w:val="24"/>
          <w:lang w:val="zh-CN"/>
        </w:rPr>
        <w:t>30m</w:t>
      </w:r>
      <w:r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Pr="0021393C">
        <w:rPr>
          <w:rFonts w:hAnsi="宋体" w:cs="Times New Roman"/>
          <w:noProof/>
          <w:color w:val="000000" w:themeColor="text1"/>
          <w:szCs w:val="24"/>
          <w:lang w:val="zh-CN"/>
        </w:rPr>
        <w:t>8</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10"/>
          <w:attr w:name="HasSpace" w:val="False"/>
          <w:attr w:name="Negative" w:val="False"/>
          <w:attr w:name="NumberType" w:val="1"/>
          <w:attr w:name="TCSC" w:val="0"/>
        </w:smartTagPr>
        <w:r w:rsidRPr="0021393C">
          <w:rPr>
            <w:rFonts w:hAnsi="宋体" w:cs="Times New Roman"/>
            <w:noProof/>
            <w:color w:val="000000" w:themeColor="text1"/>
            <w:szCs w:val="24"/>
            <w:lang w:val="zh-CN"/>
          </w:rPr>
          <w:t>10m</w:t>
        </w:r>
      </w:smartTag>
      <w:r w:rsidRPr="0021393C">
        <w:rPr>
          <w:rFonts w:hAnsi="宋体" w:cs="Times New Roman"/>
          <w:noProof/>
          <w:color w:val="000000" w:themeColor="text1"/>
          <w:szCs w:val="24"/>
          <w:lang w:val="zh-CN"/>
        </w:rPr>
        <w:t>，每隔</w:t>
      </w:r>
      <w:r w:rsidRPr="0021393C">
        <w:rPr>
          <w:rFonts w:hAnsi="宋体" w:cs="Times New Roman"/>
          <w:noProof/>
          <w:color w:val="000000" w:themeColor="text1"/>
          <w:szCs w:val="24"/>
          <w:lang w:val="zh-CN"/>
        </w:rPr>
        <w:t>10</w:t>
      </w:r>
      <w:r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20m</w:t>
        </w:r>
      </w:smartTag>
      <w:r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-60×5mm</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∠60×5mm，长2500mm</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9"/>
        <w:gridCol w:w="1839"/>
        <w:gridCol w:w="1228"/>
        <w:gridCol w:w="1191"/>
        <w:gridCol w:w="165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额定容量(kW)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安装(kW)</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运行(kW)</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直流充电装置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生活水泵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深井水泵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22</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室内消防水泵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室外消防水泵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121</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SVG工业空调</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厨房动力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230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设备楼照明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小计P3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r>
      <w:tr w:rsidR="0031660E" w:rsidTr="00A533D9">
        <w:trPr>
          <w:trHeight w:val="231"/>
          <w:jc w:val="center"/>
        </w:trPr>
        <w:tc>
          <w:tcPr>
            <w:gridSpan w:val="5"/>
            <w:tcW w:w="0" w:type="auto"/>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lastRenderedPageBreak/>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w:t>
      </w:r>
      <w:r w:rsidRPr="00CA5433">
        <w:rPr>
          <w:rFonts w:hAnsi="宋体" w:cs="Times New Roman"/>
          <w:noProof/>
          <w:color w:val="000000" w:themeColor="text1"/>
          <w:szCs w:val="24"/>
          <w:highlight w:val="green"/>
          <w:lang w:val="zh-CN"/>
        </w:rPr>
        <w:lastRenderedPageBreak/>
        <w:t>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风电场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风力发电机组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2500kW  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美式箱式变电站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2750kVA  37/0.69kV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ZRC-YJV22-0.6/1kV-3×240+1×120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-60X5mm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离子接地极</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FF-10C  Φ57×3000mm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接地检测井</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300*300*210,SPT205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各种钢材</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箱变基础埋件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7.0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升压变电站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主变部分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SZ11-100000/110，121±8×1.25%/37kV，Ud=10.5%，YNd11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中性点接地装置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主变有载调压开关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 配电装置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GIS出线断路器间隔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126kV  2000A  40kA/4s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GIS PT间隔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间隔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YH10WZ-108/281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钢芯铝绞线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LGJ-300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千米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耐张绝缘子串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9×XWP-100，泄露比距450mm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耐张线夹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NY-240/30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T型线夹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TY-240/30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门构架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h=10m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出线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站用变柜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接地变柜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PT柜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PT柜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KYN-40.5  1250A（真空断路器）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无功补偿柜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35kV站用变压器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SCB11-400   37kV/0.4kV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SVG无功补偿装置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Ue=35kV，20MVar</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SVG</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绝缘铜管母线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 kV  2500A</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单相米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35kV接地变小电阻成套装置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DKSC-150/37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ZB-YJY23-26/35kV-3*95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ZB-YJY23-26/35kV-3*300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3.13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35kV电缆终端头</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户内，冷缩型</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每套三相</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400V设备及其他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0.4kV开关柜</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MNS</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照明动力配电箱</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1kV 电力电缆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电缆头及附件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 1kV</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灯具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插座及开关</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户外照明</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接地与防火封堵</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防火材料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热镀锌扁钢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热镀锌角钢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∠60×5mm，长2500mm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根</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-40×4mm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铜排</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-25×4mm²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软铜线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50mm²</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避雷针</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独立避雷针，30m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座</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电缆支架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各种型号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6" w:name="_Toc5025911"/>
      <w:r w:rsidRPr="0021393C">
        <w:rPr>
          <w:rFonts w:cs="Times New Roman"/>
          <w:b/>
          <w:bCs/>
          <w:sz w:val="32"/>
          <w:szCs w:val="24"/>
        </w:rPr>
        <w:t xml:space="preserve">6.4 </w:t>
      </w:r>
      <w:r w:rsidRPr="0021393C">
        <w:rPr>
          <w:rFonts w:cs="Times New Roman"/>
          <w:b/>
          <w:bCs/>
          <w:sz w:val="32"/>
          <w:szCs w:val="24"/>
        </w:rPr>
        <w:t>电气二次</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w:t>
      </w:r>
      <w:r w:rsidRPr="0021393C">
        <w:rPr>
          <w:rFonts w:hAnsi="宋体" w:cs="Times New Roman"/>
          <w:noProof/>
          <w:color w:val="000000" w:themeColor="text1"/>
          <w:szCs w:val="24"/>
          <w:lang w:val="zh-CN"/>
        </w:rPr>
        <w:lastRenderedPageBreak/>
        <w:t>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Pr="0021393C">
        <w:rPr>
          <w:rFonts w:eastAsia="黑体" w:hAnsi="宋体" w:cs="Times New Roman"/>
          <w:noProof/>
          <w:color w:val="000000" w:themeColor="text1"/>
          <w:sz w:val="28"/>
          <w:szCs w:val="24"/>
          <w:lang w:val="zh-CN"/>
        </w:rPr>
        <w:t>110kV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w:t>
      </w:r>
      <w:r w:rsidRPr="0021393C">
        <w:rPr>
          <w:rFonts w:hAnsi="宋体" w:cs="Times New Roman"/>
          <w:noProof/>
          <w:color w:val="000000" w:themeColor="text1"/>
          <w:szCs w:val="24"/>
          <w:lang w:val="zh-CN"/>
        </w:rPr>
        <w:lastRenderedPageBreak/>
        <w:t>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线路配置一套微机保护装置，主保护为光纤纵联差动保护，后备保护包括：</w:t>
      </w:r>
      <w:r w:rsidRPr="0021393C">
        <w:rPr>
          <w:rFonts w:hAnsi="宋体" w:cs="Times New Roman"/>
          <w:noProof/>
          <w:color w:val="000000" w:themeColor="text1"/>
          <w:szCs w:val="24"/>
          <w:lang w:val="zh-CN"/>
        </w:rPr>
        <w:t>阶段式相间和接地距离保护、零序电流保护等，保护设备采用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复合光缆中的专用纤芯通道。</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w:t>
      </w:r>
      <w:r w:rsidRPr="0021393C">
        <w:rPr>
          <w:rFonts w:hAnsi="宋体" w:cs="Times New Roman"/>
          <w:noProof/>
          <w:color w:val="000000" w:themeColor="text1"/>
          <w:szCs w:val="24"/>
          <w:lang w:val="zh-CN"/>
        </w:rPr>
        <w:lastRenderedPageBreak/>
        <w:t>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Pr="0021393C">
        <w:rPr>
          <w:rFonts w:hAnsi="宋体" w:cs="Times New Roman"/>
          <w:noProof/>
          <w:color w:val="000000" w:themeColor="text1"/>
          <w:szCs w:val="24"/>
          <w:lang w:val="zh-CN"/>
        </w:rPr>
        <w:t xml:space="preserve">110kV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lastRenderedPageBreak/>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w:t>
      </w:r>
      <w:r w:rsidRPr="00CD7435">
        <w:lastRenderedPageBreak/>
        <w:t>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w:t>
      </w:r>
      <w:r w:rsidRPr="0021393C">
        <w:rPr>
          <w:rFonts w:hAnsi="宋体" w:cs="Times New Roman"/>
          <w:noProof/>
          <w:color w:val="000000" w:themeColor="text1"/>
          <w:szCs w:val="24"/>
          <w:lang w:val="zh-CN"/>
        </w:rPr>
        <w:lastRenderedPageBreak/>
        <w:t>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w:t>
      </w:r>
      <w:r w:rsidRPr="0021393C">
        <w:rPr>
          <w:rFonts w:hAnsi="宋体" w:cs="Times New Roman"/>
          <w:noProof/>
          <w:color w:val="000000" w:themeColor="text1"/>
          <w:szCs w:val="24"/>
          <w:lang w:val="zh-CN"/>
        </w:rPr>
        <w:lastRenderedPageBreak/>
        <w:t>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w:t>
      </w:r>
      <w:r w:rsidRPr="0021393C">
        <w:rPr>
          <w:rFonts w:hAnsi="宋体" w:cs="Times New Roman"/>
          <w:noProof/>
          <w:color w:val="000000" w:themeColor="text1"/>
          <w:szCs w:val="24"/>
          <w:lang w:val="zh-CN"/>
        </w:rPr>
        <w:lastRenderedPageBreak/>
        <w:t>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w:t>
      </w:r>
      <w:r w:rsidRPr="0021393C">
        <w:rPr>
          <w:rFonts w:hAnsi="宋体" w:cs="Times New Roman"/>
          <w:noProof/>
          <w:color w:val="000000" w:themeColor="text1"/>
          <w:szCs w:val="24"/>
          <w:lang w:val="zh-CN"/>
        </w:rPr>
        <w:lastRenderedPageBreak/>
        <w:t>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操作员（主机）工作站1台、23英寸液晶显示器1台、鼠标键盘等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含软件等其他设备</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微机五防系统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含五防工作站、系统软件等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远动工作站屏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含远动主机2台，双机切换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网络通信屏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含网络交换机4台，规约转换器2台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GPS时钟对时屏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含时钟本体装置2台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含110kV线路测控装置1台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含主变测控装置2台，温度及档位变送器1套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公用测控屏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含公用测控装置2台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9</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35kV线路保护测控装置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35kV站用变保护测控装置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35kV接地变保护测控装置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 SVG保护测控装置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变电站继电保护及安全自动装置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保护及故障信息系统管理子站屏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含保信子站1台、网络交换机、软件等设备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故障录波屏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含故障录波装置、主机及软件等设备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主变保护屏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含主保护装置1台，高、低压侧后备保护装置各1台，非电量保护装置1台，操作箱1台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110kV线路保护屏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含110kV光纤差动保护装置、操作箱各1台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35kV母线保护屏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含35kV母线保护装置1台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安稳装置屏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含频率电压紧急控制装置1台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变电站计量系统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关口计量屏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含关口电能表2只，电能量采集终端1台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电能表屏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含主变电能表1只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多功能电能表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有功0.5S级、无功2.0级；双RS485通讯口</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只</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9.0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进线6只、站用变1只、接地变1只、无功补偿1只、安装于高压开关柜</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电能质量监测屏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含电能质量监测分析装置1台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四</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变电站辅助电源系统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直流系统充电屏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DC220V，电源模块20A，2+1配置；含直流系统监控单元、蓄电池监测装置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直流系统馈线屏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阀控式密封铅酸蓄电池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200Ah/220V，104只，组架安装。</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UPS不间断电源电源屏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不间断电源装置2台,7.5kVA,双机互为备用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继电保护试验电源屏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五</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其他设备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风机计算机监控系统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含监控主机工作站、风机监控柜、风机现地控制装置</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风机功率预测预报系统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含工作站、风机功率预测预报系统、测风塔及系统软件、应用软件等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变电站二次安防系统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含隔离装置、防火墙、纵向加密认证装置和互联交换机等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AGC/AVC系统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含AVC/AGC服务器、OPC网关机、以太网交换机、AVC/AGC系统软件等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国家风电信息上报系统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变电站火灾报警系统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7</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变电站视频监控系统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8</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综合布线系统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六</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二次电缆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控制电缆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ZRB-KVVP2-22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18.0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超六类屏蔽双绞线</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直流电缆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7" w:name="_Toc5025912"/>
      <w:r w:rsidRPr="0021393C">
        <w:rPr>
          <w:rFonts w:cs="Times New Roman"/>
          <w:b/>
          <w:bCs/>
          <w:sz w:val="32"/>
          <w:szCs w:val="24"/>
        </w:rPr>
        <w:t xml:space="preserve">6.5 </w:t>
      </w:r>
      <w:r w:rsidRPr="0021393C">
        <w:rPr>
          <w:rFonts w:cs="Times New Roman"/>
          <w:b/>
          <w:bCs/>
          <w:sz w:val="32"/>
          <w:szCs w:val="24"/>
        </w:rPr>
        <w:t>系统通信</w:t>
      </w:r>
      <w:bookmarkEnd w:id="17"/>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2"/>
        <w:gridCol w:w="1532"/>
        <w:gridCol w:w="1023"/>
        <w:gridCol w:w="992"/>
        <w:gridCol w:w="1382"/>
        <w:gridCol w:w="1382"/>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序号</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名称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型号及规格</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单位</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数量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备注</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一</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风机光纤通信系统</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风机光纤通信设备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熔接盒1个、环网交换机1台、跳线等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光缆GYTA53 24B1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24芯、单模、G.652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24芯OPGW光缆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OPGW-24B1-50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48芯OPGW光缆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OPGW-48B1-50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二</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变电站通信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通信直流充馈电屏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电源模块30A，2+1配置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阀控式铅酸蓄电池</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-48V/200Ah</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组</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程控数字调度交换机</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60门</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套</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通信电缆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三</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系统通信</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1</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综合配线屏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含DDF、VDF、ODF配线架</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PCM设备屏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含PCM设备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3</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光端机屏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含SDH光传输设备</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2套，每面各1套</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4</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调度数据网屏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含接入交换机2台、E1接口板2台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5</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综合数据网屏</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含接入路由器1台、以太网光接口模块2台</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面</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6</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管道光缆</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km</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8" w:name="_Toc5025913"/>
      <w:r w:rsidRPr="0021393C">
        <w:rPr>
          <w:rFonts w:cs="Times New Roman"/>
          <w:b/>
          <w:bCs/>
          <w:sz w:val="32"/>
          <w:szCs w:val="32"/>
        </w:rPr>
        <w:lastRenderedPageBreak/>
        <w:t>6.6</w:t>
      </w:r>
      <w:r w:rsidRPr="0021393C">
        <w:rPr>
          <w:rFonts w:cs="Times New Roman"/>
          <w:b/>
          <w:bCs/>
          <w:sz w:val="32"/>
          <w:szCs w:val="32"/>
        </w:rPr>
        <w:t>集电线路</w:t>
      </w:r>
      <w:bookmarkEnd w:id="18"/>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Pr="0021393C">
        <w:rPr>
          <w:rFonts w:hAnsi="宋体" w:cs="Times New Roman" w:hint="eastAsia"/>
          <w:noProof/>
          <w:color w:val="000000" w:themeColor="text1"/>
          <w:szCs w:val="24"/>
          <w:lang w:val="zh-CN"/>
        </w:rPr>
        <w:t>110kV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Pr="006C5384">
        <w:rPr>
          <w:rFonts w:hAnsi="宋体" w:cs="Times New Roman" w:hint="eastAsia"/>
          <w:noProof/>
          <w:color w:val="000000" w:themeColor="text1"/>
          <w:szCs w:val="24"/>
          <w:lang w:val="zh-CN"/>
        </w:rPr>
        <w:t>110kV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lastRenderedPageBreak/>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风机之间采用电缆直埋方式，电缆沿新建或已建道路敷设，汇集后再采用架</w:t>
      </w:r>
      <w:r w:rsidRPr="006C5384">
        <w:rPr>
          <w:rFonts w:hAnsi="宋体" w:cs="Times New Roman" w:hint="eastAsia"/>
          <w:noProof/>
          <w:color w:val="000000" w:themeColor="text1"/>
          <w:szCs w:val="24"/>
          <w:lang w:val="zh-CN"/>
        </w:rPr>
        <w:lastRenderedPageBreak/>
        <w:t>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16755581"/>
      <w:r w:rsidRPr="0021393C">
        <w:rPr>
          <w:rFonts w:cs="Times New Roman" w:hint="eastAsia"/>
          <w:b/>
          <w:sz w:val="21"/>
          <w:szCs w:val="21"/>
        </w:rPr>
        <w:t>表</w:t>
      </w:r>
      <w:r w:rsidRPr="0021393C">
        <w:rPr>
          <w:rFonts w:cs="Times New Roman" w:hint="eastAsia"/>
          <w:b/>
          <w:sz w:val="21"/>
          <w:szCs w:val="21"/>
        </w:rPr>
        <w:t xml:space="preserve">6.6- </w:t>
      </w:r>
      <w:bookmarkEnd w:id="19"/>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20"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1"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1"/>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2"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2"/>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bookmarkEnd w:id="5"/>
    </w:tbl>
    <w:p w:rsidR="009F489B" w:rsidRPr="00EE68EE" w:rsidRDefault="009F489B" w:rsidP="00033F49">
      <w:pPr>
        <w:ind w:firstLineChars="0" w:firstLine="0"/>
      </w:pPr>
    </w:p>
    <w:sectPr w:rsidR="009F489B" w:rsidRPr="00EE68EE" w:rsidSect="0014770B">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988" w:rsidRDefault="00096988" w:rsidP="004B4861">
      <w:pPr>
        <w:spacing w:line="240" w:lineRule="auto"/>
        <w:ind w:firstLine="480"/>
      </w:pPr>
      <w:r>
        <w:separator/>
      </w:r>
    </w:p>
  </w:endnote>
  <w:endnote w:type="continuationSeparator" w:id="0">
    <w:p w:rsidR="00096988" w:rsidRDefault="00096988"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7957B468-B217-4110-8894-3598446B6938}"/>
    <w:embedBold r:id="rId2" w:fontKey="{FCD39E85-C555-418F-9BFB-1376C2A7A2AD}"/>
    <w:embedItalic r:id="rId3" w:fontKey="{9698E0EB-4186-4067-9E2C-C59A46868E91}"/>
  </w:font>
  <w:font w:name="Calibri">
    <w:panose1 w:val="020F0502020204030204"/>
    <w:charset w:val="00"/>
    <w:family w:val="swiss"/>
    <w:pitch w:val="variable"/>
    <w:sig w:usb0="E0002AFF" w:usb1="C000247B" w:usb2="00000009" w:usb3="00000000" w:csb0="000001FF" w:csb1="00000000"/>
    <w:embedRegular r:id="rId4" w:fontKey="{ED0FE3F7-49E5-42A1-BE67-782371B4077E}"/>
    <w:embedBold r:id="rId5" w:fontKey="{90BA8F79-9931-44CE-A837-B3B65CC961EE}"/>
    <w:embedItalic r:id="rId6" w:fontKey="{435E141D-A289-4F60-99AA-BFFAEC585B10}"/>
  </w:font>
  <w:font w:name="宋体">
    <w:altName w:val="SimSun"/>
    <w:panose1 w:val="02010600030101010101"/>
    <w:charset w:val="86"/>
    <w:family w:val="auto"/>
    <w:pitch w:val="variable"/>
    <w:sig w:usb0="00000003" w:usb1="288F0000" w:usb2="00000016" w:usb3="00000000" w:csb0="00040001" w:csb1="00000000"/>
    <w:embedRegular r:id="rId7" w:subsetted="1" w:fontKey="{7D9B322F-16E6-466B-8AA7-0BA791ED012B}"/>
    <w:embedBold r:id="rId8" w:subsetted="1" w:fontKey="{DAE0C720-F760-4094-98C5-D60809C9A709}"/>
  </w:font>
  <w:font w:name="Calibri Light">
    <w:panose1 w:val="020F0302020204030204"/>
    <w:charset w:val="00"/>
    <w:family w:val="swiss"/>
    <w:pitch w:val="variable"/>
    <w:sig w:usb0="E0002AFF" w:usb1="C000247B" w:usb2="00000009" w:usb3="00000000" w:csb0="000001FF" w:csb1="00000000"/>
    <w:embedRegular r:id="rId9" w:fontKey="{8F16D20D-4D00-4589-930B-D63D1BB41AB9}"/>
    <w:embedBold r:id="rId10" w:fontKey="{DC82BA5A-B5C1-42DF-B80F-E77393720FBA}"/>
  </w:font>
  <w:font w:name="黑体">
    <w:altName w:val="SimHei"/>
    <w:panose1 w:val="02010609060101010101"/>
    <w:charset w:val="86"/>
    <w:family w:val="modern"/>
    <w:pitch w:val="fixed"/>
    <w:sig w:usb0="800002BF" w:usb1="38CF7CFA" w:usb2="00000016" w:usb3="00000000" w:csb0="00040001" w:csb1="00000000"/>
    <w:embedRegular r:id="rId11" w:subsetted="1" w:fontKey="{E4999B3A-D3D0-44A6-A276-9AD745C7DB67}"/>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705C7B74-AA45-45BC-9101-D9B8F65BC74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B6EF9E51-3959-4EA9-91BE-5CBA101CF88C}"/>
  </w:font>
  <w:font w:name="Cambria">
    <w:panose1 w:val="02040503050406030204"/>
    <w:charset w:val="00"/>
    <w:family w:val="roman"/>
    <w:pitch w:val="variable"/>
    <w:sig w:usb0="E00002FF" w:usb1="400004FF" w:usb2="00000000" w:usb3="00000000" w:csb0="0000019F" w:csb1="00000000"/>
    <w:embedBold r:id="rId14" w:fontKey="{3102ED16-618C-4B99-A742-AD981786B73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Regular r:id="rId15" w:fontKey="{4C10BD4A-B14E-4BF2-9214-803FB03E3C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70C" w:rsidRDefault="004867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70C" w:rsidRDefault="004867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70C" w:rsidRDefault="0048670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988" w:rsidRDefault="00096988" w:rsidP="004B4861">
      <w:pPr>
        <w:spacing w:line="240" w:lineRule="auto"/>
        <w:ind w:firstLine="480"/>
      </w:pPr>
      <w:r>
        <w:separator/>
      </w:r>
    </w:p>
  </w:footnote>
  <w:footnote w:type="continuationSeparator" w:id="0">
    <w:p w:rsidR="00096988" w:rsidRDefault="00096988"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70C" w:rsidRPr="00DD14AF" w:rsidRDefault="0048670C"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70C" w:rsidRPr="00DD14AF" w:rsidRDefault="0048670C"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70C" w:rsidRDefault="0048670C">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6988"/>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13EE"/>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martTagType w:namespaceuri="urn:schemas-microsoft-com:office:smarttags" w:name="chmetcnv"/>
  <w:shapeDefaults>
    <o:shapedefaults v:ext="edit" spidmax="2049"/>
    <o:shapelayout v:ext="edit">
      <o:idmap v:ext="edit" data="1"/>
    </o:shapelayout>
  </w:shapeDefaults>
  <w:decimalSymbol w:val="."/>
  <w:listSeparator w:val=","/>
  <w14:docId w14:val="242121C5"/>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 Type="http://schemas.openxmlformats.org/officeDocument/2006/relationships/fontTable" Target="fontTable.xml"/><Relationship Id="rId12" Type="http://schemas.openxmlformats.org/officeDocument/2006/relationships/footer" Target="footer2.xml"/><Relationship Id="rId9" Type="http://schemas.openxmlformats.org/officeDocument/2006/relationships/header" Target="header1.xml"/><Relationship Id="rId1" Type="http://schemas.openxmlformats.org/officeDocument/2006/relationships/customXml" Target="../customXml/item1.xml"/><Relationship Id="rId14" Type="http://schemas.openxmlformats.org/officeDocument/2006/relationships/footer" Target="footer3.xml"/><Relationship Id="rId16" Type="http://schemas.openxmlformats.org/officeDocument/2006/relationships/theme" Target="theme/theme1.xml"/><Relationship Id="rId13" Type="http://schemas.openxmlformats.org/officeDocument/2006/relationships/header" Target="header3.xml"/><Relationship Id="rId2" Type="http://schemas.openxmlformats.org/officeDocument/2006/relationships/numbering" Target="numbering.xml"/><Relationship Id="rId8" Type="http://schemas.openxmlformats.org/officeDocument/2006/relationships/image" Target="media/image1.png"/><Relationship Id="rId4" Type="http://schemas.openxmlformats.org/officeDocument/2006/relationships/settings" Target="settings.xml"/><Relationship Id="rId11" Type="http://schemas.openxmlformats.org/officeDocument/2006/relationships/footer" Target="footer1.xml"/><Relationship Id="rId7" Type="http://schemas.openxmlformats.org/officeDocument/2006/relationships/endnotes" Target="endnotes.xml"/><Relationship Id="rId5" Type="http://schemas.openxmlformats.org/officeDocument/2006/relationships/webSettings" Target="webSettings.xml"/><Relationship Id="rId3" Type="http://schemas.openxmlformats.org/officeDocument/2006/relationships/styles" Target="styles.xml"/><Relationship Id="rId6" Type="http://schemas.openxmlformats.org/officeDocument/2006/relationships/footnotes" Target="footnotes.xml"/><Relationship Id="rId10" Type="http://schemas.openxmlformats.org/officeDocument/2006/relationships/header" Target="header2.xml"/></Relationships>
</file>

<file path=word/_rels/fontTable.xml.rels><?xml version='1.0' encoding='UTF-8' standalone='yes'?>
<Relationships xmlns="http://schemas.openxmlformats.org/package/2006/relationships"><Relationship Id="rId15" Type="http://schemas.openxmlformats.org/officeDocument/2006/relationships/font" Target="fonts/font15.odttf"/><Relationship Id="rId12" Type="http://schemas.openxmlformats.org/officeDocument/2006/relationships/font" Target="fonts/font12.odttf"/><Relationship Id="rId9" Type="http://schemas.openxmlformats.org/officeDocument/2006/relationships/font" Target="fonts/font9.odttf"/><Relationship Id="rId1" Type="http://schemas.openxmlformats.org/officeDocument/2006/relationships/font" Target="fonts/font1.odttf"/><Relationship Id="rId14" Type="http://schemas.openxmlformats.org/officeDocument/2006/relationships/font" Target="fonts/font14.odttf"/><Relationship Id="rId11" Type="http://schemas.openxmlformats.org/officeDocument/2006/relationships/font" Target="fonts/font11.odttf"/><Relationship Id="rId13" Type="http://schemas.openxmlformats.org/officeDocument/2006/relationships/font" Target="fonts/font13.odttf"/><Relationship Id="rId2" Type="http://schemas.openxmlformats.org/officeDocument/2006/relationships/font" Target="fonts/font2.odttf"/><Relationship Id="rId8" Type="http://schemas.openxmlformats.org/officeDocument/2006/relationships/font" Target="fonts/font8.odttf"/><Relationship Id="rId4" Type="http://schemas.openxmlformats.org/officeDocument/2006/relationships/font" Target="fonts/font4.odttf"/><Relationship Id="rId7" Type="http://schemas.openxmlformats.org/officeDocument/2006/relationships/font" Target="fonts/font7.odttf"/><Relationship Id="rId5" Type="http://schemas.openxmlformats.org/officeDocument/2006/relationships/font" Target="fonts/font5.odttf"/><Relationship Id="rId3" Type="http://schemas.openxmlformats.org/officeDocument/2006/relationships/font" Target="fonts/font3.odttf"/><Relationship Id="rId6" Type="http://schemas.openxmlformats.org/officeDocument/2006/relationships/font" Target="fonts/font6.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302C7-96E0-4A10-AF7B-F9257141A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5706</TotalTime>
  <Pages>40</Pages>
  <Words>3748</Words>
  <Characters>21369</Characters>
  <Application>Microsoft Office Word</Application>
  <DocSecurity>0</DocSecurity>
  <Lines>178</Lines>
  <Paragraphs>50</Paragraphs>
  <ScaleCrop>false</ScaleCrop>
  <Company>Microsoft</Company>
  <LinksUpToDate>false</LinksUpToDate>
  <CharactersWithSpaces>25067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12</cp:revision>
  <cp:lastPrinted>2019-04-01T12:01:00Z</cp:lastPrinted>
  <dcterms:created xsi:type="dcterms:W3CDTF">2019-07-02T07:21:00Z</dcterms:created>
  <dcterms:modified xsi:type="dcterms:W3CDTF">2019-12-15T11:34:00Z</dcterms:modified>
</cp:coreProperties>
</file>